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C244" w14:textId="77777777" w:rsidR="00CB797D" w:rsidRPr="00CB797D" w:rsidRDefault="00CB797D" w:rsidP="00CB797D">
      <w:pPr>
        <w:pStyle w:val="Default"/>
        <w:jc w:val="center"/>
        <w:rPr>
          <w:b/>
          <w:color w:val="FF0000"/>
          <w:sz w:val="28"/>
          <w:szCs w:val="28"/>
        </w:rPr>
      </w:pPr>
      <w:r w:rsidRPr="00CB797D">
        <w:rPr>
          <w:b/>
          <w:color w:val="FF0000"/>
          <w:sz w:val="28"/>
          <w:szCs w:val="28"/>
        </w:rPr>
        <w:t>EXAMPLE</w:t>
      </w:r>
    </w:p>
    <w:p w14:paraId="30B97C27" w14:textId="77777777" w:rsidR="00310514" w:rsidRPr="00310514" w:rsidRDefault="00CB797D" w:rsidP="00CB797D">
      <w:pPr>
        <w:pStyle w:val="Default"/>
        <w:jc w:val="center"/>
        <w:rPr>
          <w:b/>
          <w:color w:val="FF0000"/>
          <w:sz w:val="28"/>
          <w:szCs w:val="28"/>
        </w:rPr>
      </w:pPr>
      <w:r w:rsidRPr="00310514">
        <w:rPr>
          <w:b/>
          <w:color w:val="FF0000"/>
          <w:sz w:val="28"/>
          <w:szCs w:val="28"/>
        </w:rPr>
        <w:t xml:space="preserve">COVID-19 R&amp;D Clinical Trial </w:t>
      </w:r>
      <w:r w:rsidR="00310514" w:rsidRPr="00310514">
        <w:rPr>
          <w:b/>
          <w:color w:val="FF0000"/>
          <w:sz w:val="28"/>
          <w:szCs w:val="28"/>
        </w:rPr>
        <w:t xml:space="preserve">Action Plan </w:t>
      </w:r>
    </w:p>
    <w:p w14:paraId="56DCA8A7" w14:textId="77777777" w:rsidR="00EA180E" w:rsidRDefault="00EA180E" w:rsidP="00CB797D">
      <w:pPr>
        <w:pStyle w:val="Default"/>
        <w:jc w:val="center"/>
      </w:pPr>
      <w:proofErr w:type="gramStart"/>
      <w:r>
        <w:rPr>
          <w:sz w:val="28"/>
          <w:szCs w:val="28"/>
        </w:rPr>
        <w:t>updated</w:t>
      </w:r>
      <w:proofErr w:type="gramEnd"/>
      <w:r>
        <w:rPr>
          <w:sz w:val="28"/>
          <w:szCs w:val="28"/>
        </w:rPr>
        <w:t xml:space="preserve"> 30/03/2020</w:t>
      </w:r>
    </w:p>
    <w:p w14:paraId="6A3EE941" w14:textId="77777777" w:rsidR="00EA180E" w:rsidRDefault="00EA180E" w:rsidP="00310514">
      <w:pPr>
        <w:pStyle w:val="Default"/>
        <w:jc w:val="both"/>
      </w:pPr>
    </w:p>
    <w:tbl>
      <w:tblPr>
        <w:tblW w:w="10554" w:type="dxa"/>
        <w:tblInd w:w="-318" w:type="dxa"/>
        <w:tblBorders>
          <w:top w:val="nil"/>
          <w:left w:val="nil"/>
          <w:bottom w:val="nil"/>
          <w:right w:val="nil"/>
        </w:tblBorders>
        <w:tblLayout w:type="fixed"/>
        <w:tblLook w:val="0000" w:firstRow="0" w:lastRow="0" w:firstColumn="0" w:lastColumn="0" w:noHBand="0" w:noVBand="0"/>
      </w:tblPr>
      <w:tblGrid>
        <w:gridCol w:w="1135"/>
        <w:gridCol w:w="2595"/>
        <w:gridCol w:w="5910"/>
        <w:gridCol w:w="914"/>
      </w:tblGrid>
      <w:tr w:rsidR="00EA180E" w14:paraId="70C4D885" w14:textId="77777777" w:rsidTr="00310514">
        <w:trPr>
          <w:trHeight w:val="110"/>
        </w:trPr>
        <w:tc>
          <w:tcPr>
            <w:tcW w:w="3730" w:type="dxa"/>
            <w:gridSpan w:val="2"/>
          </w:tcPr>
          <w:p w14:paraId="0A87539C" w14:textId="77777777" w:rsidR="00EA180E" w:rsidRPr="00EA180E" w:rsidRDefault="00EA180E" w:rsidP="00310514">
            <w:pPr>
              <w:pStyle w:val="Default"/>
              <w:jc w:val="both"/>
              <w:rPr>
                <w:b/>
              </w:rPr>
            </w:pPr>
            <w:r w:rsidRPr="00EA180E">
              <w:rPr>
                <w:b/>
              </w:rPr>
              <w:t xml:space="preserve"> </w:t>
            </w:r>
            <w:r w:rsidRPr="00EA180E">
              <w:rPr>
                <w:b/>
                <w:bCs/>
              </w:rPr>
              <w:t xml:space="preserve">Stage </w:t>
            </w:r>
          </w:p>
        </w:tc>
        <w:tc>
          <w:tcPr>
            <w:tcW w:w="5910" w:type="dxa"/>
          </w:tcPr>
          <w:p w14:paraId="049F37DB" w14:textId="77777777" w:rsidR="00EA180E" w:rsidRPr="00EA180E" w:rsidRDefault="00EA180E" w:rsidP="00310514">
            <w:pPr>
              <w:pStyle w:val="Default"/>
              <w:jc w:val="both"/>
              <w:rPr>
                <w:b/>
              </w:rPr>
            </w:pPr>
            <w:r w:rsidRPr="00EA180E">
              <w:rPr>
                <w:b/>
                <w:bCs/>
              </w:rPr>
              <w:t xml:space="preserve">Action </w:t>
            </w:r>
          </w:p>
        </w:tc>
        <w:tc>
          <w:tcPr>
            <w:tcW w:w="914" w:type="dxa"/>
          </w:tcPr>
          <w:p w14:paraId="6B2E782A" w14:textId="77777777" w:rsidR="00EA180E" w:rsidRPr="00EA180E" w:rsidRDefault="00EA180E" w:rsidP="00310514">
            <w:pPr>
              <w:pStyle w:val="Default"/>
              <w:jc w:val="both"/>
              <w:rPr>
                <w:b/>
              </w:rPr>
            </w:pPr>
          </w:p>
        </w:tc>
      </w:tr>
      <w:tr w:rsidR="00310514" w14:paraId="4C2E6241" w14:textId="77777777" w:rsidTr="00310514">
        <w:trPr>
          <w:gridAfter w:val="1"/>
          <w:wAfter w:w="914" w:type="dxa"/>
          <w:trHeight w:val="513"/>
        </w:trPr>
        <w:tc>
          <w:tcPr>
            <w:tcW w:w="1135" w:type="dxa"/>
            <w:tcBorders>
              <w:top w:val="single" w:sz="4" w:space="0" w:color="auto"/>
              <w:left w:val="single" w:sz="4" w:space="0" w:color="auto"/>
              <w:bottom w:val="single" w:sz="4" w:space="0" w:color="auto"/>
              <w:right w:val="single" w:sz="4" w:space="0" w:color="auto"/>
            </w:tcBorders>
          </w:tcPr>
          <w:p w14:paraId="4AB34A7F" w14:textId="77777777" w:rsidR="00310514" w:rsidRDefault="00310514">
            <w:pPr>
              <w:pStyle w:val="Default"/>
              <w:rPr>
                <w:sz w:val="22"/>
                <w:szCs w:val="22"/>
              </w:rPr>
            </w:pPr>
            <w:r>
              <w:rPr>
                <w:sz w:val="22"/>
                <w:szCs w:val="22"/>
              </w:rPr>
              <w:t xml:space="preserve">0 </w:t>
            </w:r>
          </w:p>
        </w:tc>
        <w:tc>
          <w:tcPr>
            <w:tcW w:w="8505" w:type="dxa"/>
            <w:gridSpan w:val="2"/>
            <w:tcBorders>
              <w:top w:val="single" w:sz="4" w:space="0" w:color="auto"/>
              <w:left w:val="single" w:sz="4" w:space="0" w:color="auto"/>
              <w:bottom w:val="single" w:sz="4" w:space="0" w:color="auto"/>
              <w:right w:val="single" w:sz="4" w:space="0" w:color="auto"/>
            </w:tcBorders>
          </w:tcPr>
          <w:p w14:paraId="5B3DBE6E" w14:textId="77777777" w:rsidR="00310514" w:rsidRDefault="00310514">
            <w:pPr>
              <w:pStyle w:val="Default"/>
              <w:rPr>
                <w:sz w:val="22"/>
                <w:szCs w:val="22"/>
              </w:rPr>
            </w:pPr>
            <w:r>
              <w:rPr>
                <w:b/>
                <w:bCs/>
                <w:sz w:val="22"/>
                <w:szCs w:val="22"/>
              </w:rPr>
              <w:t xml:space="preserve">Preliminary email communication </w:t>
            </w:r>
            <w:r>
              <w:rPr>
                <w:sz w:val="22"/>
                <w:szCs w:val="22"/>
              </w:rPr>
              <w:t xml:space="preserve">asking research teams to begin to consider a) their priority studies, b) whether follow-up appointments could be done by telephone, c) not to open new studies, and d) to inform research staff that there may be requests from the Trust for volunteers to help support clinical services. </w:t>
            </w:r>
          </w:p>
          <w:p w14:paraId="6ABF690F" w14:textId="77777777" w:rsidR="00310514" w:rsidRDefault="00310514">
            <w:pPr>
              <w:pStyle w:val="Default"/>
              <w:rPr>
                <w:sz w:val="22"/>
                <w:szCs w:val="22"/>
              </w:rPr>
            </w:pPr>
          </w:p>
        </w:tc>
      </w:tr>
      <w:tr w:rsidR="00310514" w14:paraId="2AE39020" w14:textId="77777777" w:rsidTr="00310514">
        <w:trPr>
          <w:gridAfter w:val="1"/>
          <w:wAfter w:w="914" w:type="dxa"/>
          <w:trHeight w:val="2930"/>
        </w:trPr>
        <w:tc>
          <w:tcPr>
            <w:tcW w:w="1135" w:type="dxa"/>
            <w:tcBorders>
              <w:top w:val="single" w:sz="4" w:space="0" w:color="auto"/>
              <w:left w:val="single" w:sz="4" w:space="0" w:color="auto"/>
              <w:bottom w:val="single" w:sz="4" w:space="0" w:color="auto"/>
              <w:right w:val="single" w:sz="4" w:space="0" w:color="auto"/>
            </w:tcBorders>
          </w:tcPr>
          <w:p w14:paraId="2A7C307B" w14:textId="77777777" w:rsidR="00310514" w:rsidRDefault="00310514">
            <w:pPr>
              <w:pStyle w:val="Default"/>
              <w:rPr>
                <w:sz w:val="22"/>
                <w:szCs w:val="22"/>
              </w:rPr>
            </w:pPr>
            <w:r>
              <w:rPr>
                <w:sz w:val="22"/>
                <w:szCs w:val="22"/>
              </w:rPr>
              <w:t xml:space="preserve">1 </w:t>
            </w:r>
          </w:p>
        </w:tc>
        <w:tc>
          <w:tcPr>
            <w:tcW w:w="8505" w:type="dxa"/>
            <w:gridSpan w:val="2"/>
            <w:tcBorders>
              <w:top w:val="single" w:sz="4" w:space="0" w:color="auto"/>
              <w:left w:val="single" w:sz="4" w:space="0" w:color="auto"/>
              <w:bottom w:val="single" w:sz="4" w:space="0" w:color="auto"/>
              <w:right w:val="single" w:sz="4" w:space="0" w:color="auto"/>
            </w:tcBorders>
          </w:tcPr>
          <w:p w14:paraId="795CA27E" w14:textId="77777777" w:rsidR="00310514" w:rsidRDefault="00310514">
            <w:pPr>
              <w:pStyle w:val="Default"/>
              <w:rPr>
                <w:sz w:val="22"/>
                <w:szCs w:val="22"/>
              </w:rPr>
            </w:pPr>
            <w:r>
              <w:rPr>
                <w:b/>
                <w:bCs/>
                <w:sz w:val="22"/>
                <w:szCs w:val="22"/>
              </w:rPr>
              <w:t xml:space="preserve">a. Not open any new studies. </w:t>
            </w:r>
            <w:r>
              <w:rPr>
                <w:sz w:val="22"/>
                <w:szCs w:val="22"/>
              </w:rPr>
              <w:t xml:space="preserve">Research teams can still progress studies through the local Capacity and Capability approval process but no new studies are to be given a ‘green light’ to start recruitment. The Joint Research Office may have to </w:t>
            </w:r>
            <w:proofErr w:type="spellStart"/>
            <w:r>
              <w:rPr>
                <w:sz w:val="22"/>
                <w:szCs w:val="22"/>
              </w:rPr>
              <w:t>prioritise</w:t>
            </w:r>
            <w:proofErr w:type="spellEnd"/>
            <w:r>
              <w:rPr>
                <w:sz w:val="22"/>
                <w:szCs w:val="22"/>
              </w:rPr>
              <w:t xml:space="preserve"> other work over local C&amp;C approvals. </w:t>
            </w:r>
          </w:p>
          <w:p w14:paraId="71D2A45F" w14:textId="77777777" w:rsidR="00310514" w:rsidRDefault="00310514">
            <w:pPr>
              <w:pStyle w:val="Default"/>
              <w:rPr>
                <w:sz w:val="22"/>
                <w:szCs w:val="22"/>
              </w:rPr>
            </w:pPr>
            <w:r>
              <w:rPr>
                <w:b/>
                <w:bCs/>
                <w:sz w:val="22"/>
                <w:szCs w:val="22"/>
              </w:rPr>
              <w:t xml:space="preserve">b. Review all Site assessment, training and initiation visits. </w:t>
            </w:r>
            <w:r>
              <w:rPr>
                <w:sz w:val="22"/>
                <w:szCs w:val="22"/>
              </w:rPr>
              <w:t xml:space="preserve">Research teams should consider whether it is worth arranging these visits when the study start date is uncertain. If they do go ahead they should be by teleconference. </w:t>
            </w:r>
          </w:p>
          <w:p w14:paraId="38F8C03B" w14:textId="77777777" w:rsidR="00310514" w:rsidRDefault="00310514">
            <w:pPr>
              <w:pStyle w:val="Default"/>
              <w:rPr>
                <w:sz w:val="22"/>
                <w:szCs w:val="22"/>
              </w:rPr>
            </w:pPr>
            <w:r>
              <w:rPr>
                <w:b/>
                <w:bCs/>
                <w:sz w:val="22"/>
                <w:szCs w:val="22"/>
              </w:rPr>
              <w:t xml:space="preserve">c. Stop all monitoring visits unless in exceptional circumstances </w:t>
            </w:r>
            <w:r>
              <w:rPr>
                <w:sz w:val="22"/>
                <w:szCs w:val="22"/>
              </w:rPr>
              <w:t xml:space="preserve">e.g. a triggered monitoring visit for patient safety. </w:t>
            </w:r>
          </w:p>
          <w:p w14:paraId="39F36AAE" w14:textId="77777777" w:rsidR="00310514" w:rsidRDefault="00310514">
            <w:pPr>
              <w:pStyle w:val="Default"/>
              <w:rPr>
                <w:sz w:val="22"/>
                <w:szCs w:val="22"/>
              </w:rPr>
            </w:pPr>
            <w:r>
              <w:rPr>
                <w:b/>
                <w:bCs/>
                <w:sz w:val="22"/>
                <w:szCs w:val="22"/>
              </w:rPr>
              <w:t xml:space="preserve">d. </w:t>
            </w:r>
            <w:proofErr w:type="spellStart"/>
            <w:r>
              <w:rPr>
                <w:b/>
                <w:bCs/>
                <w:sz w:val="22"/>
                <w:szCs w:val="22"/>
              </w:rPr>
              <w:t>Prioritise</w:t>
            </w:r>
            <w:proofErr w:type="spellEnd"/>
            <w:r>
              <w:rPr>
                <w:b/>
                <w:bCs/>
                <w:sz w:val="22"/>
                <w:szCs w:val="22"/>
              </w:rPr>
              <w:t xml:space="preserve"> all open studies using the criteria below. </w:t>
            </w:r>
            <w:r>
              <w:rPr>
                <w:sz w:val="22"/>
                <w:szCs w:val="22"/>
              </w:rPr>
              <w:t xml:space="preserve">Clinical Research Leads, Delivery Team Leads and Platform Leads/Managers to work with local investigators and research teams to review and </w:t>
            </w:r>
            <w:proofErr w:type="spellStart"/>
            <w:r>
              <w:rPr>
                <w:sz w:val="22"/>
                <w:szCs w:val="22"/>
              </w:rPr>
              <w:t>prioritise</w:t>
            </w:r>
            <w:proofErr w:type="spellEnd"/>
            <w:r>
              <w:rPr>
                <w:sz w:val="22"/>
                <w:szCs w:val="22"/>
              </w:rPr>
              <w:t xml:space="preserve"> all open studies. </w:t>
            </w:r>
          </w:p>
          <w:p w14:paraId="4A50677B" w14:textId="77777777" w:rsidR="00310514" w:rsidRDefault="00310514">
            <w:pPr>
              <w:pStyle w:val="Default"/>
              <w:rPr>
                <w:sz w:val="22"/>
                <w:szCs w:val="22"/>
              </w:rPr>
            </w:pPr>
            <w:r>
              <w:rPr>
                <w:b/>
                <w:bCs/>
                <w:sz w:val="22"/>
                <w:szCs w:val="22"/>
              </w:rPr>
              <w:t xml:space="preserve">e. Review the protocol requirements of all open studies and assess the risk </w:t>
            </w:r>
            <w:proofErr w:type="spellStart"/>
            <w:r>
              <w:rPr>
                <w:b/>
                <w:bCs/>
                <w:sz w:val="22"/>
                <w:szCs w:val="22"/>
              </w:rPr>
              <w:t>vs</w:t>
            </w:r>
            <w:proofErr w:type="spellEnd"/>
            <w:r>
              <w:rPr>
                <w:b/>
                <w:bCs/>
                <w:sz w:val="22"/>
                <w:szCs w:val="22"/>
              </w:rPr>
              <w:t xml:space="preserve"> benefit for participants (and potential participants) in the context of the COVID-19 pandemic. </w:t>
            </w:r>
            <w:r>
              <w:rPr>
                <w:sz w:val="22"/>
                <w:szCs w:val="22"/>
              </w:rPr>
              <w:t xml:space="preserve">For example, studies where the intervention has the potential to immune-suppress, or where follow-up requires the patient to attend hospital frequently. PIs should undertake this risk assessment and liaise with the study sponsor and JRO as necessary to try to </w:t>
            </w:r>
            <w:proofErr w:type="spellStart"/>
            <w:r>
              <w:rPr>
                <w:sz w:val="22"/>
                <w:szCs w:val="22"/>
              </w:rPr>
              <w:t>minimise</w:t>
            </w:r>
            <w:proofErr w:type="spellEnd"/>
            <w:r>
              <w:rPr>
                <w:sz w:val="22"/>
                <w:szCs w:val="22"/>
              </w:rPr>
              <w:t xml:space="preserve"> this risk. On a study-by-study basis, a PI may suspend recruitment if the risk assessment </w:t>
            </w:r>
            <w:proofErr w:type="spellStart"/>
            <w:r>
              <w:rPr>
                <w:sz w:val="22"/>
                <w:szCs w:val="22"/>
              </w:rPr>
              <w:t>favours</w:t>
            </w:r>
            <w:proofErr w:type="spellEnd"/>
            <w:r>
              <w:rPr>
                <w:sz w:val="22"/>
                <w:szCs w:val="22"/>
              </w:rPr>
              <w:t xml:space="preserve"> this action. Where there is a change to the protocol (e.g. change of follow-up visits from face-to-face to telephone) and the Trust </w:t>
            </w:r>
            <w:proofErr w:type="gramStart"/>
            <w:r>
              <w:rPr>
                <w:sz w:val="22"/>
                <w:szCs w:val="22"/>
              </w:rPr>
              <w:t>are</w:t>
            </w:r>
            <w:proofErr w:type="gramEnd"/>
            <w:r>
              <w:rPr>
                <w:sz w:val="22"/>
                <w:szCs w:val="22"/>
              </w:rPr>
              <w:t xml:space="preserve"> sponsor, please contact the JRO to request the correct amendment is submitted. </w:t>
            </w:r>
          </w:p>
          <w:p w14:paraId="099EC476" w14:textId="77777777" w:rsidR="00310514" w:rsidRDefault="00310514">
            <w:pPr>
              <w:pStyle w:val="Default"/>
              <w:rPr>
                <w:sz w:val="22"/>
                <w:szCs w:val="22"/>
              </w:rPr>
            </w:pPr>
          </w:p>
        </w:tc>
      </w:tr>
      <w:tr w:rsidR="00310514" w14:paraId="467F60A8" w14:textId="77777777" w:rsidTr="00310514">
        <w:trPr>
          <w:gridAfter w:val="1"/>
          <w:wAfter w:w="914" w:type="dxa"/>
          <w:trHeight w:val="377"/>
        </w:trPr>
        <w:tc>
          <w:tcPr>
            <w:tcW w:w="1135" w:type="dxa"/>
            <w:tcBorders>
              <w:top w:val="single" w:sz="4" w:space="0" w:color="auto"/>
              <w:left w:val="single" w:sz="4" w:space="0" w:color="auto"/>
              <w:bottom w:val="single" w:sz="4" w:space="0" w:color="auto"/>
              <w:right w:val="single" w:sz="4" w:space="0" w:color="auto"/>
            </w:tcBorders>
          </w:tcPr>
          <w:p w14:paraId="771CEA5F" w14:textId="77777777" w:rsidR="00310514" w:rsidRDefault="00310514">
            <w:pPr>
              <w:pStyle w:val="Default"/>
              <w:rPr>
                <w:sz w:val="22"/>
                <w:szCs w:val="22"/>
              </w:rPr>
            </w:pPr>
            <w:r>
              <w:rPr>
                <w:sz w:val="22"/>
                <w:szCs w:val="22"/>
              </w:rPr>
              <w:t xml:space="preserve">2 </w:t>
            </w:r>
          </w:p>
        </w:tc>
        <w:tc>
          <w:tcPr>
            <w:tcW w:w="8505" w:type="dxa"/>
            <w:gridSpan w:val="2"/>
            <w:tcBorders>
              <w:top w:val="single" w:sz="4" w:space="0" w:color="auto"/>
              <w:left w:val="single" w:sz="4" w:space="0" w:color="auto"/>
              <w:bottom w:val="single" w:sz="4" w:space="0" w:color="auto"/>
              <w:right w:val="single" w:sz="4" w:space="0" w:color="auto"/>
            </w:tcBorders>
          </w:tcPr>
          <w:p w14:paraId="2B583B0B" w14:textId="77777777" w:rsidR="00310514" w:rsidRDefault="00310514">
            <w:pPr>
              <w:pStyle w:val="Default"/>
              <w:rPr>
                <w:sz w:val="22"/>
                <w:szCs w:val="22"/>
              </w:rPr>
            </w:pPr>
            <w:r>
              <w:rPr>
                <w:b/>
                <w:bCs/>
                <w:sz w:val="22"/>
                <w:szCs w:val="22"/>
              </w:rPr>
              <w:t xml:space="preserve">Suspend screening, recruitment and </w:t>
            </w:r>
            <w:proofErr w:type="spellStart"/>
            <w:r>
              <w:rPr>
                <w:b/>
                <w:bCs/>
                <w:sz w:val="22"/>
                <w:szCs w:val="22"/>
              </w:rPr>
              <w:t>randomisation</w:t>
            </w:r>
            <w:proofErr w:type="spellEnd"/>
            <w:r>
              <w:rPr>
                <w:b/>
                <w:bCs/>
                <w:sz w:val="22"/>
                <w:szCs w:val="22"/>
              </w:rPr>
              <w:t xml:space="preserve"> in Priority 3 studies. </w:t>
            </w:r>
            <w:r>
              <w:rPr>
                <w:sz w:val="22"/>
                <w:szCs w:val="22"/>
              </w:rPr>
              <w:t xml:space="preserve">Unless the risk assessment dictates otherwise, patients already enrolled should continue ‘on study’ including any amendments to study protocol from stage 1e. </w:t>
            </w:r>
          </w:p>
          <w:p w14:paraId="72DDEAA3" w14:textId="77777777" w:rsidR="00310514" w:rsidRDefault="00310514">
            <w:pPr>
              <w:pStyle w:val="Default"/>
              <w:rPr>
                <w:sz w:val="22"/>
                <w:szCs w:val="22"/>
              </w:rPr>
            </w:pPr>
          </w:p>
        </w:tc>
      </w:tr>
      <w:tr w:rsidR="00310514" w14:paraId="0BE536C5" w14:textId="77777777" w:rsidTr="00310514">
        <w:trPr>
          <w:gridAfter w:val="1"/>
          <w:wAfter w:w="914" w:type="dxa"/>
          <w:trHeight w:val="377"/>
        </w:trPr>
        <w:tc>
          <w:tcPr>
            <w:tcW w:w="1135" w:type="dxa"/>
            <w:tcBorders>
              <w:top w:val="single" w:sz="4" w:space="0" w:color="auto"/>
              <w:left w:val="single" w:sz="4" w:space="0" w:color="auto"/>
              <w:bottom w:val="single" w:sz="4" w:space="0" w:color="auto"/>
              <w:right w:val="single" w:sz="4" w:space="0" w:color="auto"/>
            </w:tcBorders>
          </w:tcPr>
          <w:p w14:paraId="1FABE72C" w14:textId="77777777" w:rsidR="00310514" w:rsidRDefault="00310514">
            <w:pPr>
              <w:pStyle w:val="Default"/>
              <w:rPr>
                <w:sz w:val="22"/>
                <w:szCs w:val="22"/>
              </w:rPr>
            </w:pPr>
            <w:r>
              <w:rPr>
                <w:sz w:val="22"/>
                <w:szCs w:val="22"/>
              </w:rPr>
              <w:t xml:space="preserve">3 </w:t>
            </w:r>
          </w:p>
        </w:tc>
        <w:tc>
          <w:tcPr>
            <w:tcW w:w="8505" w:type="dxa"/>
            <w:gridSpan w:val="2"/>
            <w:tcBorders>
              <w:top w:val="single" w:sz="4" w:space="0" w:color="auto"/>
              <w:left w:val="single" w:sz="4" w:space="0" w:color="auto"/>
              <w:bottom w:val="single" w:sz="4" w:space="0" w:color="auto"/>
              <w:right w:val="single" w:sz="4" w:space="0" w:color="auto"/>
            </w:tcBorders>
          </w:tcPr>
          <w:p w14:paraId="20D04A2B" w14:textId="77777777" w:rsidR="00310514" w:rsidRDefault="00310514">
            <w:pPr>
              <w:pStyle w:val="Default"/>
              <w:rPr>
                <w:sz w:val="22"/>
                <w:szCs w:val="22"/>
              </w:rPr>
            </w:pPr>
            <w:r>
              <w:rPr>
                <w:b/>
                <w:bCs/>
                <w:sz w:val="22"/>
                <w:szCs w:val="22"/>
              </w:rPr>
              <w:t xml:space="preserve">Suspend screening, recruitment and </w:t>
            </w:r>
            <w:proofErr w:type="spellStart"/>
            <w:r>
              <w:rPr>
                <w:b/>
                <w:bCs/>
                <w:sz w:val="22"/>
                <w:szCs w:val="22"/>
              </w:rPr>
              <w:t>randomisation</w:t>
            </w:r>
            <w:proofErr w:type="spellEnd"/>
            <w:r>
              <w:rPr>
                <w:b/>
                <w:bCs/>
                <w:sz w:val="22"/>
                <w:szCs w:val="22"/>
              </w:rPr>
              <w:t xml:space="preserve"> in Priority 2 studies. </w:t>
            </w:r>
            <w:r>
              <w:rPr>
                <w:sz w:val="22"/>
                <w:szCs w:val="22"/>
              </w:rPr>
              <w:t xml:space="preserve">Unless the risk assessment dictates otherwise, patients already enrolled should continue ‘on study’ including any amendments to study protocol from stage 1e. </w:t>
            </w:r>
          </w:p>
          <w:p w14:paraId="71BA1C86" w14:textId="77777777" w:rsidR="00310514" w:rsidRDefault="00310514">
            <w:pPr>
              <w:pStyle w:val="Default"/>
              <w:rPr>
                <w:sz w:val="22"/>
                <w:szCs w:val="22"/>
              </w:rPr>
            </w:pPr>
          </w:p>
        </w:tc>
      </w:tr>
      <w:tr w:rsidR="00310514" w14:paraId="015FC4CB" w14:textId="77777777" w:rsidTr="00310514">
        <w:trPr>
          <w:gridAfter w:val="1"/>
          <w:wAfter w:w="914" w:type="dxa"/>
          <w:trHeight w:val="782"/>
        </w:trPr>
        <w:tc>
          <w:tcPr>
            <w:tcW w:w="1135" w:type="dxa"/>
            <w:tcBorders>
              <w:top w:val="single" w:sz="4" w:space="0" w:color="auto"/>
              <w:left w:val="single" w:sz="4" w:space="0" w:color="auto"/>
              <w:bottom w:val="single" w:sz="4" w:space="0" w:color="auto"/>
              <w:right w:val="single" w:sz="4" w:space="0" w:color="auto"/>
            </w:tcBorders>
          </w:tcPr>
          <w:p w14:paraId="7372E13B" w14:textId="77777777" w:rsidR="00310514" w:rsidRDefault="00310514">
            <w:pPr>
              <w:pStyle w:val="Default"/>
              <w:rPr>
                <w:sz w:val="22"/>
                <w:szCs w:val="22"/>
              </w:rPr>
            </w:pPr>
            <w:r>
              <w:rPr>
                <w:sz w:val="22"/>
                <w:szCs w:val="22"/>
              </w:rPr>
              <w:t xml:space="preserve">4 </w:t>
            </w:r>
          </w:p>
        </w:tc>
        <w:tc>
          <w:tcPr>
            <w:tcW w:w="8505" w:type="dxa"/>
            <w:gridSpan w:val="2"/>
            <w:tcBorders>
              <w:top w:val="single" w:sz="4" w:space="0" w:color="auto"/>
              <w:left w:val="single" w:sz="4" w:space="0" w:color="auto"/>
              <w:bottom w:val="single" w:sz="4" w:space="0" w:color="auto"/>
              <w:right w:val="single" w:sz="4" w:space="0" w:color="auto"/>
            </w:tcBorders>
          </w:tcPr>
          <w:p w14:paraId="19378115" w14:textId="77777777" w:rsidR="00310514" w:rsidRDefault="00310514">
            <w:pPr>
              <w:pStyle w:val="Default"/>
              <w:rPr>
                <w:sz w:val="22"/>
                <w:szCs w:val="22"/>
              </w:rPr>
            </w:pPr>
            <w:r>
              <w:rPr>
                <w:b/>
                <w:bCs/>
                <w:sz w:val="22"/>
                <w:szCs w:val="22"/>
              </w:rPr>
              <w:t xml:space="preserve">Suspend all face-to-face follow up visits unless essential for patient safety or required for clinical care. </w:t>
            </w:r>
            <w:r>
              <w:rPr>
                <w:sz w:val="22"/>
                <w:szCs w:val="22"/>
              </w:rPr>
              <w:t xml:space="preserve">If patients are required to attend for safety reasons (e.g. blood tests for toxicity) or for the purposes of clinical care, then PIs should follow current Trust information and guidance, to </w:t>
            </w:r>
            <w:proofErr w:type="spellStart"/>
            <w:r>
              <w:rPr>
                <w:sz w:val="22"/>
                <w:szCs w:val="22"/>
              </w:rPr>
              <w:t>minimise</w:t>
            </w:r>
            <w:proofErr w:type="spellEnd"/>
            <w:r>
              <w:rPr>
                <w:sz w:val="22"/>
                <w:szCs w:val="22"/>
              </w:rPr>
              <w:t xml:space="preserve"> the risk to patients and staff. If the safety of a patient is at risk because they cannot complete key safety checks, then consideration to discontinuing that patient must be considered. </w:t>
            </w:r>
          </w:p>
        </w:tc>
      </w:tr>
      <w:tr w:rsidR="00310514" w14:paraId="2F798847" w14:textId="77777777" w:rsidTr="00310514">
        <w:trPr>
          <w:gridAfter w:val="1"/>
          <w:wAfter w:w="914" w:type="dxa"/>
          <w:trHeight w:val="513"/>
        </w:trPr>
        <w:tc>
          <w:tcPr>
            <w:tcW w:w="1135" w:type="dxa"/>
            <w:tcBorders>
              <w:top w:val="single" w:sz="4" w:space="0" w:color="auto"/>
              <w:left w:val="single" w:sz="4" w:space="0" w:color="auto"/>
              <w:bottom w:val="single" w:sz="4" w:space="0" w:color="auto"/>
              <w:right w:val="single" w:sz="4" w:space="0" w:color="auto"/>
            </w:tcBorders>
          </w:tcPr>
          <w:p w14:paraId="520D6222" w14:textId="77777777" w:rsidR="00310514" w:rsidRDefault="00310514">
            <w:pPr>
              <w:pStyle w:val="Default"/>
              <w:rPr>
                <w:sz w:val="22"/>
                <w:szCs w:val="22"/>
              </w:rPr>
            </w:pPr>
            <w:r>
              <w:rPr>
                <w:sz w:val="22"/>
                <w:szCs w:val="22"/>
              </w:rPr>
              <w:t xml:space="preserve">5 </w:t>
            </w:r>
          </w:p>
        </w:tc>
        <w:tc>
          <w:tcPr>
            <w:tcW w:w="8505" w:type="dxa"/>
            <w:gridSpan w:val="2"/>
            <w:tcBorders>
              <w:top w:val="single" w:sz="4" w:space="0" w:color="auto"/>
              <w:left w:val="single" w:sz="4" w:space="0" w:color="auto"/>
              <w:bottom w:val="single" w:sz="4" w:space="0" w:color="auto"/>
              <w:right w:val="single" w:sz="4" w:space="0" w:color="auto"/>
            </w:tcBorders>
          </w:tcPr>
          <w:p w14:paraId="667A89A4" w14:textId="77777777" w:rsidR="00310514" w:rsidRDefault="00310514">
            <w:pPr>
              <w:pStyle w:val="Default"/>
              <w:rPr>
                <w:sz w:val="22"/>
                <w:szCs w:val="22"/>
              </w:rPr>
            </w:pPr>
            <w:r>
              <w:rPr>
                <w:b/>
                <w:bCs/>
                <w:sz w:val="22"/>
                <w:szCs w:val="22"/>
              </w:rPr>
              <w:t xml:space="preserve">PIs should review the risk assessment for all open Priority 1a studies </w:t>
            </w:r>
            <w:r>
              <w:rPr>
                <w:sz w:val="22"/>
                <w:szCs w:val="22"/>
              </w:rPr>
              <w:t xml:space="preserve">in the light of the evolving pandemic, in particular Government advice on social distancing and current Trust advice and information. It is likely that on-going recruitment to some 1b studies is no longer feasible and should be paused. </w:t>
            </w:r>
          </w:p>
          <w:p w14:paraId="05FF5556" w14:textId="77777777" w:rsidR="00310514" w:rsidRDefault="00310514">
            <w:pPr>
              <w:pStyle w:val="Default"/>
              <w:rPr>
                <w:sz w:val="22"/>
                <w:szCs w:val="22"/>
              </w:rPr>
            </w:pPr>
          </w:p>
        </w:tc>
      </w:tr>
      <w:tr w:rsidR="00310514" w14:paraId="0D840078" w14:textId="77777777" w:rsidTr="00310514">
        <w:trPr>
          <w:gridAfter w:val="1"/>
          <w:wAfter w:w="914" w:type="dxa"/>
          <w:trHeight w:val="379"/>
        </w:trPr>
        <w:tc>
          <w:tcPr>
            <w:tcW w:w="1135" w:type="dxa"/>
            <w:tcBorders>
              <w:top w:val="single" w:sz="4" w:space="0" w:color="auto"/>
              <w:left w:val="single" w:sz="4" w:space="0" w:color="auto"/>
              <w:bottom w:val="single" w:sz="4" w:space="0" w:color="auto"/>
              <w:right w:val="single" w:sz="4" w:space="0" w:color="auto"/>
            </w:tcBorders>
          </w:tcPr>
          <w:p w14:paraId="646DE2EF" w14:textId="77777777" w:rsidR="00310514" w:rsidRDefault="00310514">
            <w:pPr>
              <w:pStyle w:val="Default"/>
              <w:rPr>
                <w:sz w:val="22"/>
                <w:szCs w:val="22"/>
              </w:rPr>
            </w:pPr>
            <w:r>
              <w:rPr>
                <w:sz w:val="22"/>
                <w:szCs w:val="22"/>
              </w:rPr>
              <w:lastRenderedPageBreak/>
              <w:t xml:space="preserve">6 </w:t>
            </w:r>
          </w:p>
        </w:tc>
        <w:tc>
          <w:tcPr>
            <w:tcW w:w="8505" w:type="dxa"/>
            <w:gridSpan w:val="2"/>
            <w:tcBorders>
              <w:top w:val="single" w:sz="4" w:space="0" w:color="auto"/>
              <w:left w:val="single" w:sz="4" w:space="0" w:color="auto"/>
              <w:bottom w:val="single" w:sz="4" w:space="0" w:color="auto"/>
              <w:right w:val="single" w:sz="4" w:space="0" w:color="auto"/>
            </w:tcBorders>
          </w:tcPr>
          <w:p w14:paraId="66A7CE2D" w14:textId="77777777" w:rsidR="00310514" w:rsidRDefault="00310514">
            <w:pPr>
              <w:pStyle w:val="Default"/>
              <w:rPr>
                <w:sz w:val="22"/>
                <w:szCs w:val="22"/>
              </w:rPr>
            </w:pPr>
            <w:r>
              <w:rPr>
                <w:b/>
                <w:bCs/>
                <w:sz w:val="22"/>
                <w:szCs w:val="22"/>
              </w:rPr>
              <w:t xml:space="preserve">Suspend screening, recruitment and </w:t>
            </w:r>
            <w:proofErr w:type="spellStart"/>
            <w:r>
              <w:rPr>
                <w:b/>
                <w:bCs/>
                <w:sz w:val="22"/>
                <w:szCs w:val="22"/>
              </w:rPr>
              <w:t>randomisation</w:t>
            </w:r>
            <w:proofErr w:type="spellEnd"/>
            <w:r>
              <w:rPr>
                <w:b/>
                <w:bCs/>
                <w:sz w:val="22"/>
                <w:szCs w:val="22"/>
              </w:rPr>
              <w:t xml:space="preserve"> in Priority 1b studies. </w:t>
            </w:r>
            <w:r>
              <w:rPr>
                <w:sz w:val="22"/>
                <w:szCs w:val="22"/>
              </w:rPr>
              <w:t xml:space="preserve">Unless the risk assessment dictates otherwise, patients already enrolled should continue ‘on study’ including any amendments to study protocol from stage 1e. </w:t>
            </w:r>
          </w:p>
          <w:p w14:paraId="4E9D8F01" w14:textId="77777777" w:rsidR="00310514" w:rsidRDefault="00310514">
            <w:pPr>
              <w:pStyle w:val="Default"/>
              <w:rPr>
                <w:sz w:val="22"/>
                <w:szCs w:val="22"/>
              </w:rPr>
            </w:pPr>
          </w:p>
        </w:tc>
      </w:tr>
      <w:tr w:rsidR="00310514" w14:paraId="5B610F81" w14:textId="77777777" w:rsidTr="00310514">
        <w:trPr>
          <w:gridAfter w:val="1"/>
          <w:wAfter w:w="914" w:type="dxa"/>
          <w:trHeight w:val="1004"/>
        </w:trPr>
        <w:tc>
          <w:tcPr>
            <w:tcW w:w="1135" w:type="dxa"/>
            <w:tcBorders>
              <w:top w:val="single" w:sz="4" w:space="0" w:color="auto"/>
              <w:left w:val="single" w:sz="4" w:space="0" w:color="auto"/>
              <w:bottom w:val="single" w:sz="4" w:space="0" w:color="auto"/>
              <w:right w:val="single" w:sz="4" w:space="0" w:color="auto"/>
            </w:tcBorders>
          </w:tcPr>
          <w:p w14:paraId="1C12ACAD" w14:textId="77777777" w:rsidR="00310514" w:rsidRDefault="00310514">
            <w:pPr>
              <w:pStyle w:val="Default"/>
              <w:rPr>
                <w:sz w:val="22"/>
                <w:szCs w:val="22"/>
              </w:rPr>
            </w:pPr>
            <w:r>
              <w:rPr>
                <w:sz w:val="22"/>
                <w:szCs w:val="22"/>
              </w:rPr>
              <w:t xml:space="preserve">7 </w:t>
            </w:r>
          </w:p>
        </w:tc>
        <w:tc>
          <w:tcPr>
            <w:tcW w:w="8505" w:type="dxa"/>
            <w:gridSpan w:val="2"/>
            <w:tcBorders>
              <w:top w:val="single" w:sz="4" w:space="0" w:color="auto"/>
              <w:left w:val="single" w:sz="4" w:space="0" w:color="auto"/>
              <w:bottom w:val="single" w:sz="4" w:space="0" w:color="auto"/>
              <w:right w:val="single" w:sz="4" w:space="0" w:color="auto"/>
            </w:tcBorders>
          </w:tcPr>
          <w:p w14:paraId="13771B5A" w14:textId="77777777" w:rsidR="00310514" w:rsidRDefault="00310514" w:rsidP="00CB797D">
            <w:pPr>
              <w:pStyle w:val="Default"/>
              <w:rPr>
                <w:sz w:val="22"/>
                <w:szCs w:val="22"/>
              </w:rPr>
            </w:pPr>
            <w:r>
              <w:rPr>
                <w:b/>
                <w:bCs/>
                <w:sz w:val="22"/>
                <w:szCs w:val="22"/>
              </w:rPr>
              <w:t xml:space="preserve">Suspend screening recruitment and </w:t>
            </w:r>
            <w:proofErr w:type="spellStart"/>
            <w:r>
              <w:rPr>
                <w:b/>
                <w:bCs/>
                <w:sz w:val="22"/>
                <w:szCs w:val="22"/>
              </w:rPr>
              <w:t>randomisation</w:t>
            </w:r>
            <w:proofErr w:type="spellEnd"/>
            <w:r>
              <w:rPr>
                <w:b/>
                <w:bCs/>
                <w:sz w:val="22"/>
                <w:szCs w:val="22"/>
              </w:rPr>
              <w:t xml:space="preserve"> to selected Priority 1a studies. </w:t>
            </w:r>
            <w:r>
              <w:rPr>
                <w:sz w:val="22"/>
                <w:szCs w:val="22"/>
              </w:rPr>
              <w:t xml:space="preserve">In the surge phase of the pandemic it may not be possible to support all Priority 1a studies. This process will most likely be coordinated by local ‘COVID-19 trial oversight group’. </w:t>
            </w:r>
          </w:p>
        </w:tc>
      </w:tr>
    </w:tbl>
    <w:tbl>
      <w:tblPr>
        <w:tblpPr w:leftFromText="180" w:rightFromText="180" w:vertAnchor="text" w:horzAnchor="page" w:tblpX="1457" w:tblpY="756"/>
        <w:tblW w:w="9606" w:type="dxa"/>
        <w:tblBorders>
          <w:top w:val="nil"/>
          <w:left w:val="nil"/>
          <w:bottom w:val="nil"/>
          <w:right w:val="nil"/>
        </w:tblBorders>
        <w:tblLayout w:type="fixed"/>
        <w:tblLook w:val="0000" w:firstRow="0" w:lastRow="0" w:firstColumn="0" w:lastColumn="0" w:noHBand="0" w:noVBand="0"/>
      </w:tblPr>
      <w:tblGrid>
        <w:gridCol w:w="626"/>
        <w:gridCol w:w="8980"/>
      </w:tblGrid>
      <w:tr w:rsidR="00310514" w14:paraId="16ACE3AA" w14:textId="77777777" w:rsidTr="00310514">
        <w:trPr>
          <w:trHeight w:val="110"/>
        </w:trPr>
        <w:tc>
          <w:tcPr>
            <w:tcW w:w="9606" w:type="dxa"/>
            <w:gridSpan w:val="2"/>
            <w:tcBorders>
              <w:top w:val="single" w:sz="4" w:space="0" w:color="auto"/>
              <w:left w:val="single" w:sz="4" w:space="0" w:color="auto"/>
              <w:bottom w:val="single" w:sz="4" w:space="0" w:color="auto"/>
              <w:right w:val="single" w:sz="4" w:space="0" w:color="auto"/>
            </w:tcBorders>
          </w:tcPr>
          <w:p w14:paraId="359CB077" w14:textId="77777777" w:rsidR="00EA180E" w:rsidRDefault="00EA180E" w:rsidP="00310514">
            <w:pPr>
              <w:pStyle w:val="Default"/>
              <w:rPr>
                <w:b/>
                <w:bCs/>
                <w:sz w:val="22"/>
                <w:szCs w:val="22"/>
              </w:rPr>
            </w:pPr>
            <w:r>
              <w:rPr>
                <w:b/>
                <w:bCs/>
                <w:sz w:val="22"/>
                <w:szCs w:val="22"/>
              </w:rPr>
              <w:t>Prioritisation criteria for clinical research studi</w:t>
            </w:r>
            <w:r w:rsidR="00CB797D">
              <w:rPr>
                <w:b/>
                <w:bCs/>
                <w:sz w:val="22"/>
                <w:szCs w:val="22"/>
              </w:rPr>
              <w:t xml:space="preserve">es (example from one </w:t>
            </w:r>
            <w:r>
              <w:rPr>
                <w:b/>
                <w:bCs/>
                <w:sz w:val="22"/>
                <w:szCs w:val="22"/>
              </w:rPr>
              <w:t>NHS Trust)</w:t>
            </w:r>
          </w:p>
          <w:p w14:paraId="572A8E96" w14:textId="77777777" w:rsidR="00EA180E" w:rsidRDefault="00EA180E" w:rsidP="00310514">
            <w:pPr>
              <w:pStyle w:val="Default"/>
              <w:rPr>
                <w:sz w:val="22"/>
                <w:szCs w:val="22"/>
              </w:rPr>
            </w:pPr>
          </w:p>
        </w:tc>
      </w:tr>
      <w:tr w:rsidR="00310514" w14:paraId="59275537" w14:textId="77777777" w:rsidTr="00310514">
        <w:trPr>
          <w:trHeight w:val="110"/>
        </w:trPr>
        <w:tc>
          <w:tcPr>
            <w:tcW w:w="626" w:type="dxa"/>
            <w:tcBorders>
              <w:top w:val="single" w:sz="4" w:space="0" w:color="auto"/>
              <w:left w:val="single" w:sz="4" w:space="0" w:color="auto"/>
              <w:bottom w:val="single" w:sz="4" w:space="0" w:color="auto"/>
              <w:right w:val="single" w:sz="4" w:space="0" w:color="auto"/>
            </w:tcBorders>
          </w:tcPr>
          <w:p w14:paraId="01A6BC11" w14:textId="77777777" w:rsidR="00EA180E" w:rsidRDefault="00EA180E" w:rsidP="00310514">
            <w:pPr>
              <w:pStyle w:val="Default"/>
              <w:rPr>
                <w:sz w:val="22"/>
                <w:szCs w:val="22"/>
              </w:rPr>
            </w:pPr>
            <w:r>
              <w:rPr>
                <w:b/>
                <w:bCs/>
                <w:sz w:val="22"/>
                <w:szCs w:val="22"/>
              </w:rPr>
              <w:t xml:space="preserve">1a </w:t>
            </w:r>
          </w:p>
        </w:tc>
        <w:tc>
          <w:tcPr>
            <w:tcW w:w="8980" w:type="dxa"/>
            <w:tcBorders>
              <w:top w:val="single" w:sz="4" w:space="0" w:color="auto"/>
              <w:left w:val="single" w:sz="4" w:space="0" w:color="auto"/>
              <w:bottom w:val="single" w:sz="4" w:space="0" w:color="auto"/>
              <w:right w:val="single" w:sz="4" w:space="0" w:color="auto"/>
            </w:tcBorders>
          </w:tcPr>
          <w:p w14:paraId="74897A57" w14:textId="77777777" w:rsidR="00EA180E" w:rsidRDefault="00EA180E" w:rsidP="00310514">
            <w:pPr>
              <w:pStyle w:val="Default"/>
              <w:rPr>
                <w:sz w:val="22"/>
                <w:szCs w:val="22"/>
              </w:rPr>
            </w:pPr>
            <w:r>
              <w:rPr>
                <w:sz w:val="22"/>
                <w:szCs w:val="22"/>
              </w:rPr>
              <w:t xml:space="preserve">Studies investigating COVID-19 including emergency public health studies. </w:t>
            </w:r>
          </w:p>
        </w:tc>
      </w:tr>
      <w:tr w:rsidR="00310514" w14:paraId="55AF49DA" w14:textId="77777777" w:rsidTr="00310514">
        <w:trPr>
          <w:trHeight w:val="244"/>
        </w:trPr>
        <w:tc>
          <w:tcPr>
            <w:tcW w:w="626" w:type="dxa"/>
            <w:tcBorders>
              <w:top w:val="single" w:sz="4" w:space="0" w:color="auto"/>
              <w:left w:val="single" w:sz="4" w:space="0" w:color="auto"/>
              <w:bottom w:val="single" w:sz="4" w:space="0" w:color="auto"/>
              <w:right w:val="single" w:sz="4" w:space="0" w:color="auto"/>
            </w:tcBorders>
          </w:tcPr>
          <w:p w14:paraId="54FCFCDD" w14:textId="77777777" w:rsidR="00EA180E" w:rsidRDefault="00EA180E" w:rsidP="00310514">
            <w:pPr>
              <w:pStyle w:val="Default"/>
              <w:rPr>
                <w:sz w:val="22"/>
                <w:szCs w:val="22"/>
              </w:rPr>
            </w:pPr>
            <w:r>
              <w:rPr>
                <w:b/>
                <w:bCs/>
                <w:sz w:val="22"/>
                <w:szCs w:val="22"/>
              </w:rPr>
              <w:t xml:space="preserve">1b </w:t>
            </w:r>
          </w:p>
        </w:tc>
        <w:tc>
          <w:tcPr>
            <w:tcW w:w="8980" w:type="dxa"/>
            <w:tcBorders>
              <w:top w:val="single" w:sz="4" w:space="0" w:color="auto"/>
              <w:left w:val="single" w:sz="4" w:space="0" w:color="auto"/>
              <w:bottom w:val="single" w:sz="4" w:space="0" w:color="auto"/>
              <w:right w:val="single" w:sz="4" w:space="0" w:color="auto"/>
            </w:tcBorders>
          </w:tcPr>
          <w:p w14:paraId="087D9AFB" w14:textId="77777777" w:rsidR="00EA180E" w:rsidRDefault="00EA180E" w:rsidP="00310514">
            <w:pPr>
              <w:pStyle w:val="Default"/>
              <w:rPr>
                <w:sz w:val="22"/>
                <w:szCs w:val="22"/>
              </w:rPr>
            </w:pPr>
            <w:r>
              <w:rPr>
                <w:sz w:val="22"/>
                <w:szCs w:val="22"/>
              </w:rPr>
              <w:t xml:space="preserve">Studies where a patient’s treatment depends on them being in the trial, e.g. early-phase trials where the treatment is only available in the context of a trial and ‘usual care’ options are ineffective. </w:t>
            </w:r>
          </w:p>
        </w:tc>
      </w:tr>
      <w:tr w:rsidR="00310514" w14:paraId="0896A45F" w14:textId="77777777" w:rsidTr="00310514">
        <w:trPr>
          <w:trHeight w:val="379"/>
        </w:trPr>
        <w:tc>
          <w:tcPr>
            <w:tcW w:w="626" w:type="dxa"/>
            <w:tcBorders>
              <w:top w:val="single" w:sz="4" w:space="0" w:color="auto"/>
              <w:left w:val="single" w:sz="4" w:space="0" w:color="auto"/>
              <w:bottom w:val="single" w:sz="4" w:space="0" w:color="auto"/>
              <w:right w:val="single" w:sz="4" w:space="0" w:color="auto"/>
            </w:tcBorders>
          </w:tcPr>
          <w:p w14:paraId="40B112A7" w14:textId="77777777" w:rsidR="00EA180E" w:rsidRDefault="00EA180E" w:rsidP="00310514">
            <w:pPr>
              <w:pStyle w:val="Default"/>
              <w:rPr>
                <w:sz w:val="22"/>
                <w:szCs w:val="22"/>
              </w:rPr>
            </w:pPr>
            <w:r>
              <w:rPr>
                <w:b/>
                <w:bCs/>
                <w:sz w:val="22"/>
                <w:szCs w:val="22"/>
              </w:rPr>
              <w:t xml:space="preserve">2 </w:t>
            </w:r>
          </w:p>
        </w:tc>
        <w:tc>
          <w:tcPr>
            <w:tcW w:w="8980" w:type="dxa"/>
            <w:tcBorders>
              <w:top w:val="single" w:sz="4" w:space="0" w:color="auto"/>
              <w:left w:val="single" w:sz="4" w:space="0" w:color="auto"/>
              <w:bottom w:val="single" w:sz="4" w:space="0" w:color="auto"/>
              <w:right w:val="single" w:sz="4" w:space="0" w:color="auto"/>
            </w:tcBorders>
          </w:tcPr>
          <w:p w14:paraId="64255E11" w14:textId="77777777" w:rsidR="00EA180E" w:rsidRDefault="00EA180E" w:rsidP="00310514">
            <w:pPr>
              <w:pStyle w:val="Default"/>
              <w:rPr>
                <w:sz w:val="22"/>
                <w:szCs w:val="22"/>
              </w:rPr>
            </w:pPr>
            <w:r>
              <w:rPr>
                <w:sz w:val="22"/>
                <w:szCs w:val="22"/>
              </w:rPr>
              <w:t xml:space="preserve">Studies where there is a safe and effective ‘usual care’ treatment option for patients not enrolled in the trial, e.g. a RCT of novel </w:t>
            </w:r>
            <w:r w:rsidR="00CB797D">
              <w:rPr>
                <w:sz w:val="22"/>
                <w:szCs w:val="22"/>
              </w:rPr>
              <w:t>drug</w:t>
            </w:r>
            <w:r>
              <w:rPr>
                <w:sz w:val="22"/>
                <w:szCs w:val="22"/>
              </w:rPr>
              <w:t xml:space="preserve"> versus standard care, or a device study where an alternative device or treatment option exists. </w:t>
            </w:r>
          </w:p>
        </w:tc>
      </w:tr>
      <w:tr w:rsidR="00310514" w14:paraId="65AEE993" w14:textId="77777777" w:rsidTr="00310514">
        <w:trPr>
          <w:trHeight w:val="110"/>
        </w:trPr>
        <w:tc>
          <w:tcPr>
            <w:tcW w:w="626" w:type="dxa"/>
            <w:tcBorders>
              <w:top w:val="single" w:sz="4" w:space="0" w:color="auto"/>
              <w:left w:val="single" w:sz="4" w:space="0" w:color="auto"/>
              <w:bottom w:val="single" w:sz="4" w:space="0" w:color="auto"/>
              <w:right w:val="single" w:sz="4" w:space="0" w:color="auto"/>
            </w:tcBorders>
          </w:tcPr>
          <w:p w14:paraId="162C7D19" w14:textId="77777777" w:rsidR="00EA180E" w:rsidRDefault="00EA180E" w:rsidP="00310514">
            <w:pPr>
              <w:pStyle w:val="Default"/>
              <w:rPr>
                <w:sz w:val="22"/>
                <w:szCs w:val="22"/>
              </w:rPr>
            </w:pPr>
            <w:r>
              <w:rPr>
                <w:b/>
                <w:bCs/>
                <w:sz w:val="22"/>
                <w:szCs w:val="22"/>
              </w:rPr>
              <w:t xml:space="preserve">3 </w:t>
            </w:r>
          </w:p>
        </w:tc>
        <w:tc>
          <w:tcPr>
            <w:tcW w:w="8980" w:type="dxa"/>
            <w:tcBorders>
              <w:top w:val="single" w:sz="4" w:space="0" w:color="auto"/>
              <w:left w:val="single" w:sz="4" w:space="0" w:color="auto"/>
              <w:bottom w:val="single" w:sz="4" w:space="0" w:color="auto"/>
              <w:right w:val="single" w:sz="4" w:space="0" w:color="auto"/>
            </w:tcBorders>
          </w:tcPr>
          <w:p w14:paraId="43C7DE7B" w14:textId="77777777" w:rsidR="00EA180E" w:rsidRDefault="00EA180E" w:rsidP="00310514">
            <w:pPr>
              <w:pStyle w:val="Default"/>
              <w:rPr>
                <w:sz w:val="22"/>
                <w:szCs w:val="22"/>
              </w:rPr>
            </w:pPr>
            <w:r>
              <w:rPr>
                <w:sz w:val="22"/>
                <w:szCs w:val="22"/>
              </w:rPr>
              <w:t xml:space="preserve">Observational, tissue bio-bank, qualitative and other studies. </w:t>
            </w:r>
          </w:p>
        </w:tc>
      </w:tr>
    </w:tbl>
    <w:p w14:paraId="0243A4E4" w14:textId="77777777" w:rsidR="00900DD0" w:rsidRDefault="00900DD0"/>
    <w:p w14:paraId="7819754C" w14:textId="77777777" w:rsidR="00EA180E" w:rsidRDefault="00EA180E"/>
    <w:p w14:paraId="03B5E6D7" w14:textId="77777777" w:rsidR="00EA180E" w:rsidRDefault="00EA180E">
      <w:bookmarkStart w:id="0" w:name="_GoBack"/>
      <w:bookmarkEnd w:id="0"/>
    </w:p>
    <w:sectPr w:rsidR="00EA180E" w:rsidSect="00794C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7F"/>
    <w:rsid w:val="001B007F"/>
    <w:rsid w:val="00310514"/>
    <w:rsid w:val="00794C0E"/>
    <w:rsid w:val="00900DD0"/>
    <w:rsid w:val="00CB797D"/>
    <w:rsid w:val="00EA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54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80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80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6020">
      <w:bodyDiv w:val="1"/>
      <w:marLeft w:val="0"/>
      <w:marRight w:val="0"/>
      <w:marTop w:val="0"/>
      <w:marBottom w:val="0"/>
      <w:divBdr>
        <w:top w:val="none" w:sz="0" w:space="0" w:color="auto"/>
        <w:left w:val="none" w:sz="0" w:space="0" w:color="auto"/>
        <w:bottom w:val="none" w:sz="0" w:space="0" w:color="auto"/>
        <w:right w:val="none" w:sz="0" w:space="0" w:color="auto"/>
      </w:divBdr>
    </w:div>
    <w:div w:id="1484659861">
      <w:bodyDiv w:val="1"/>
      <w:marLeft w:val="0"/>
      <w:marRight w:val="0"/>
      <w:marTop w:val="0"/>
      <w:marBottom w:val="0"/>
      <w:divBdr>
        <w:top w:val="none" w:sz="0" w:space="0" w:color="auto"/>
        <w:left w:val="none" w:sz="0" w:space="0" w:color="auto"/>
        <w:bottom w:val="none" w:sz="0" w:space="0" w:color="auto"/>
        <w:right w:val="none" w:sz="0" w:space="0" w:color="auto"/>
      </w:divBdr>
    </w:div>
    <w:div w:id="1631395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673</Words>
  <Characters>3841</Characters>
  <Application>Microsoft Macintosh Word</Application>
  <DocSecurity>0</DocSecurity>
  <Lines>32</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2020-04-20T15:56:00Z</dcterms:created>
  <dcterms:modified xsi:type="dcterms:W3CDTF">2020-04-22T09:46:00Z</dcterms:modified>
</cp:coreProperties>
</file>